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материалы к рекомендациям </w:t>
        <w:br/>
        <w:t xml:space="preserve">по проведению самообследования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 обеспечению функционирования внутренней системы оценки эффективности осуществления учреждениями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деятельности </w:t>
        <w:br/>
        <w:t xml:space="preserve">по реализации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Цель и задачи проведения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деятельности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Цель проведения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– добровольное определение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уровня соблюдения им обязательных требований законодательства Российской Федерации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Задачи проведения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степени проявления измеряемых качеств у объектов изучения и оценивания (самооценивания);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наличия или отсутствия динамики системы деятельности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целом (или отдельных е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компонентов);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целостной системы оценочных характеристик реализуемых процессов;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положительных тенденций в объектах изучения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оценивания (самооценивания) в системе деятельности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целом, резервов его развития;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причин возникновения и путей решения, выявленных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ходе изучения и оценивания (самооценивания) проблем;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(или опровержение) прогнозов изменений,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объектами оценивания (самооценивания) или действиями, относящимися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аналитических материалов для формирования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результатах самообследования;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готовности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плановым и внеплановым проверкам, проводимых федеральными органами исполнительной власти, а также к независимой оценке качества условий оказания услуг, проводимой по инициативе юридических и (или) физических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сопоставление критериев оценки деятельности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 показателей самообследования с другими учреждениями;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предоставления услуг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посредством повышения эффективности осуществления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Результаты самообследования и обеспечения функционирования внутренней системы оценки эффективности осуществления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позволяют учреждению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определить круг проблем, рисков, актуальных зад</w:t>
      </w:r>
      <w:r>
        <w:rPr>
          <w:rFonts w:ascii="Times New Roman" w:hAnsi="Times New Roman" w:cs="Times New Roman"/>
          <w:sz w:val="28"/>
          <w:szCs w:val="28"/>
        </w:rPr>
        <w:t xml:space="preserve">ач, на решение которых направлена дальнейшая деятельность учреждения или его структурных подразделений. При подведении итогов работы за год данные самообследования используются для разработки или корректировки программ, планирования работы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Результаты самообследования и обеспечения функционирования внутренней системы оценки эффективности осуществления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позволяют руководителю органа государственной власти субъекта Российской Федерации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или органа местного самоуправления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информацию о текущей ситуации, тенденции и прогнозе развития системы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субъекте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и принимать управленческие решения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рамках его должностных полномочий и компетенций.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Проведение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способствует обеспечению доступности и открытости для населения муниципального образования или субъекта Российской Федерации информации о деятельности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(реализуемых форматах, предлагаемых сервисах, возможностях для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в том числе в части участия во всероссийских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и в международных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форумах, форумах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 субъектов Российской Федерации, иных форумах, членства в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организациях или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объединениях и др.).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Принципы и функции проведения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деятельности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Принципы проведения самообследования и обеспечения функционирования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направлены на обеспечение эффективности, экономичности и результативности деятельности, соблюдение требований законодательства и внутренних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предотвращение неправомерных действий сотрудников и третьих лиц, а также достоверность, полноту и своевременность подготовки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тности, включают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систематичность – самообследование и внутренняя оценка эффективности осуществляются регулярно для своевременного выявления рисков или подтверждения соблюдения требований.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комплексность — самообследование и внутренняя оценка эффективности охватывают все направления деятельности, контрольные процедуры выполняются во всех процессах на всех уровнях системы управления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своевременность — контрольные процедуры организуются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том возможности превентивного выявления рисков или нарушений для их устранения или минимизации последствий;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прозрачность — достоверная информация доводится до сведения сотрудников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 всех заинтересованных сторон своевременно, в необходимом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ме и в понятном формате;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— все участники самообследования и внутренней оценки эффективности несут ответственность за надлежащую организацию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исполнение контрольных процедур в рамках своих полномочий;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разграничение ответственности — каждая контрольная функция закрепляется за одним субъектом контроля;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документирование процедур — контрольные процедуры на всех уровнях управления и во всех процессах должны быть формализованы во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внутренних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ресурсами — контрольные процедуры обеспечиваются необходимыми ресурсами и полномочиями для их выполнения;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— контрольные процедуры осуществляются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том их целесообразности и экономической эффективности (затраты на их реализацию не должны превышать эффект от их внедрения);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– контрольные процедуры непрерывно совершенствуются и адаптируются к изменениям внутренней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внешней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согласованность и взаимодействие – выполнение контрольных процедур и совершенствование внутренней системы оценки основано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эффективном и скоординированном взаимодействии всех участников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всех уровнях 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всего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– сотрудники должны знать, что в отношении их действий и решений вед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проверка их соответствия требованиям и правомочности;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независимость и непредвзятость — специалисты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осуществляющие контроль, должны иметь возможность свободно и объективно выполнять свои обязанности.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соответствии с целями и задачами самообследование и внутренняя система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выполняют ряд следующих функций: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оценочная функция – осуществление измерений с целью выявления соответствия оцениваемых параметров нормативным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современным параметрам и требованиям;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диагностическая функция – выявление причин возникновения отклонений состояния объекта изучения и оценивания нормативных и научно обоснованных параметров, по которым осуществляется его оценка (самооценка);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прогностическая функция – оценка (самооценка) последствий проявления отклонений для оцениваемого объекта и тех, с которыми он вступает во взаимодействие.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Структура </w:t>
      </w:r>
      <w:bookmarkStart w:id="0" w:name="_Hlk206152087"/>
      <w:r>
        <w:rPr>
          <w:rFonts w:ascii="Times New Roman" w:hAnsi="Times New Roman" w:cs="Times New Roman"/>
          <w:b/>
          <w:sz w:val="28"/>
          <w:szCs w:val="28"/>
        </w:rPr>
        <w:t xml:space="preserve">и содержание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</w:t>
      </w:r>
      <w:bookmarkStart w:id="1" w:name="_Hlk206152159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по реализации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bookmarkEnd w:id="0"/>
      <w:r/>
      <w:bookmarkEnd w:id="1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Внутренняя система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включает в себя: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numPr>
          <w:ilvl w:val="0"/>
          <w:numId w:val="1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среду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систему управления рисками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процедуры (внутренний мониторинг, социологические опросы, подготовку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тов о самообследовании);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средств контроля внутренней системы оценки эффективности осуществления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Контрольная среда (среда внутреннего контроля) – это совокупность процессов, стандартов и процедур, которые служат основой для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среда: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0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предусматривает контроль как непосредственно за деятельностью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так и за уровнем инфраструктуры, кадрового обеспечения, информационного сопровождения;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0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формируется на основе принципов,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и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поддержание руководством и сотрудниками учреждения внутренней системы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Система управления рисками – это комплекс мероприятий, правил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документов, с помощью которых определяются основные риски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меры по реагированию на 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рисками организации призвана своевременно предотвращать и минимизировать негативные последствия недостижения организацией целей деятельности по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обеспечивает выполнение последовательности действий,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предотвращение или минимизацию возможного ущерба за счет воздействий на причины и последствия возникновения рисков: планирование, выявление, оценку, минимизацию (устранение), мониторинг, аудит, определение границ приемлемости рисков; раскрытие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рисках;  принятие решений о способе управления риском на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основе оценки достаточности имеющихся в распоряжении организации контрольных процедур для покрытия рисков.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Контрольные процедуры в рамках оценки эффективности осуществления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направлены на предупреждение или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минимизацию рисков, влияющих на достижение целей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контрольных процедур могут использоваться: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 документов (в том числе бухгалтерской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тности, кадровых документов, методических документов,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тов)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части соответствия документации требованиям законодательства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руководящих работников и сотрудников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части проведения самооценки эффективности деятельности учреждения;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мониторинг достижений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посещающей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обеспечивающий постоянное отслеживание и анализ прогресса в части создания условий для развития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защиты ее прав и законных интересов, самореализации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различных сферах жизнедеятельности, патриотического и духовно-нравственного воспитания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социологические опросы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 для установления степени удовлетвор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нности деятельностью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тов о самообследовании.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проводит мониторинг внутренней системы оценки эффективности осуществления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разрезе следующих компонентов: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среда;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рисками;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процедуры;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средств контроля.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При мониторинге контрольной среды должны учитываться следующие критерии: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сотрудниками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профессиональных, этических и поведенческих норм и правил;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руководителя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процессе внутренней оценки эффективности осуществления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в том числе закрепление 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организации функций рассмотрения и утверждения оценки результатов мониторинга и оценки системы внутреннего контроля;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(разграничение) полномочий и обязанностей, закрепленное в организационной структуре, реализующей надлежащий учет ключевых сфер полномочий, обязанностей и определенного порядка подчиненности сотрудников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требований к квалификации сотрудников, в том числе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образованию, опыту работы, достижениям, сведениям о добросовестности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этическом поведении, а также наличие программ подготовки специалистов, предусматривающих обучение их функциям и обязанностям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требованиями, регламентируемыми  профессиональным стандартом «Специалист по работе с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жью».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При мониторинге и оценке рисков должны учитываться следующие критерии: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системы управления рисками или комплексной стратегии управления рисками, утвержд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нной на уровне руководителя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документирование результатов выявления и оценки рисков;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современных информационных систем для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системы управления рисками.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При мониторинге контрольных процедур должны учитываться следующие критерии: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контрольных процедур;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документирование выполнения контрольных процедур;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контрольных процедур;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автоматизированных контрольных процедур;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соотношение автоматизированных и ручных контрольных процедур.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При анализе мониторинга средств контроля должны учитываться следующие критерии: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непрерывность осуществления мониторинга и внутренней системы оценки 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формализованных показателей внутренней системы оценки 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регламентированной процедуры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оформления результатов внутренней системы оценки 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регулярность составления и представления руководству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тности о внутренней системе оценки 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внутреннего и (или) внешнего аудита результатов внутренней системы оценки 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реализация плана мероприятий по совершенствованию внутренней системы оценки эффективности.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самообследования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Самообследование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включает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себя следующие этапы: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подготовка работ по самообследованию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проведение 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полученных результатов и на их основе формирование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на сайте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учредителем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или иным органом, к компетенции которого относится решение данного вопроса;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корректирующих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Планирование и подготовка работ по самообследованию предусматривает определение руководителем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самообследования и подготовки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самообследовании;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размещения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о самообследовании на официальном сайте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разделе «Документы»;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предоставления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о самообследовании учредителю: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 субъекта Российской Федерации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или орган местного самоуправления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(или в иной орган субъекта Российской Федерации,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компетенции которого относится решение данного вопроса);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способов проведения самообследования (самостоятельно либо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привлечением представителей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сообществ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организаций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объединений / партн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ров в сфере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самообследования (инфраструктура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ответственных лиц за проведение самообследования, формирование (подготовку)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та, размещение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на официальном сайте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учредителю (или в иной орган субъекта Российской Федерации,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компетенции которого относится решение данного вопроса);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представителей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сообществ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организаций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объединений / партн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ров в сфере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(при выборе способа самообследования с их участием).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Руководитель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состав лиц, привлекаемых для проведения самообследования;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рабочую группу по проведению самообследования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состав которой могут входить</w:t>
      </w:r>
      <w:r>
        <w:rPr>
          <w:rStyle w:val="94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: руководитель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заместители руководителя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специалисты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а также при необходимости представители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сообществ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организаций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объединений / партн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ров в сфере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компетентные провести сбор и анализ информации по направлениям и показателям деятельности учреждения;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план-график проведения самообследования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указанием ответственных лиц и сроков исполнения;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лицо, ответственное за подготовку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самообследования;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сроки и ответственных лиц за размещение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самообследования на официальном сайте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срок до 20 апреля текущего календарного года, предоставление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учредителю (или в иной орган субъекта </w:t>
      </w:r>
      <w:r>
        <w:rPr>
          <w:rFonts w:ascii="Times New Roman" w:hAnsi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компетенции которого относится решение данного вопроса).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лицо, осуществляющее контроль исполнения приказа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контроль обязательного ознакомления с приказом сотрудников, а также при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представителей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жи,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сообществ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организаций /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общественных объединений / партн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ров в сфере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участвующих в процедуре самообследования.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члены рабочей группы несут ответственность за выполнение данного приказа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Организация и проведение 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предусматривают последовательное заполнение ответственными лицами – членами рабочей группы формы бланка для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2) и при необходимости подготовку приложений к нему.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заполнения формы бланка ответственные лица – члены рабочей группы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используют чек-лист «Содержание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политики»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1), включающий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самообследования;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показателей, подлежащих самообследованию;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диагностики (измерения), рекомендуемые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использованию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ходе самообследования.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сборе данных, необходимых для заполнения анкеты ответственные лица – члены рабочей группы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также могут использовать «Опросник для подготовки к организации и проведению 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политики»</w:t>
      </w:r>
      <w:r>
        <w:rPr>
          <w:rStyle w:val="947"/>
          <w:rFonts w:ascii="Times New Roman" w:hAnsi="Times New Roman" w:cs="Times New Roman"/>
          <w:sz w:val="28"/>
          <w:szCs w:val="28"/>
          <w:vertAlign w:val="baseline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Style w:val="947"/>
          <w:rFonts w:ascii="Times New Roman" w:hAnsi="Times New Roman" w:cs="Times New Roman"/>
          <w:sz w:val="28"/>
          <w:szCs w:val="28"/>
          <w:vertAlign w:val="baseline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Обобщение полученных результатов и на их основе формирование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предусматривает подготовку документа, представляющего собой источник данных для принятия решений на муниципальном и региональном уровнях, централизации методической работы с учреждениями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планирования мероприятий по непрерывному профессиональному развитию как руководителей и специалистов учреждений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так и отдельных команд.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полученных результатов и на их основе формирование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включает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конкретных результатов и способов их достижения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каждом разделе, которых достигло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тный период;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ставление информации в сжатом виде;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интерпретацию пред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ставляемых данных;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подготовку приложений, в которых представлена наиболее полная информация (как в текстовом формате, так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формате таблиц, графиков, диаграмм);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самообследования формируются управленческие решения с уч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том сделанных выводов о сильных сторонах деятельности учреждения, направлений, перспектив развития, выявленных затруднений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способов решения, приоритетных задач на следующий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тный период; краткие адресные рекомендации для управленческой команды и специалистов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по самообследованию формируется по состоянию на 1 апреля текущего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тным периодом для проведения 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является предшествующий самообследованию календарный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о самообследовании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подписывается руководителем учреждения и заверяется печатью учреждения.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о самообследовании в информационно-телекоммуникационных сетях, в том числе на официальном сайте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и направление его учредителю или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иному органу, к компетенции которого относится решение данного вопроса, на официальный адрес электронной почты осуществляются в 20-ти </w:t>
      </w:r>
      <w:r>
        <w:rPr>
          <w:rFonts w:ascii="Times New Roman" w:hAnsi="Times New Roman" w:cs="Times New Roman"/>
          <w:sz w:val="28"/>
          <w:szCs w:val="28"/>
        </w:rPr>
        <w:t xml:space="preserve">дневный</w:t>
      </w:r>
      <w:r>
        <w:rPr>
          <w:rFonts w:ascii="Times New Roman" w:hAnsi="Times New Roman" w:cs="Times New Roman"/>
          <w:sz w:val="28"/>
          <w:szCs w:val="28"/>
        </w:rPr>
        <w:t xml:space="preserve"> срок с даты утверждения отчета.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Для рассмотрения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учредитель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или иной орган субъекта Российской Федерации, к компетенции которого относится решение данного вопроса, создает комиссию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 учреждения (далее – комиссия).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и состав комиссии определяются приказом учредителя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или иного органа субъекта </w:t>
      </w:r>
      <w:r>
        <w:rPr>
          <w:rFonts w:ascii="Times New Roman" w:hAnsi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компетенции которого относится решение данного 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обеспечивает координацию работы, способствующую оперативному решению вопросов, которые будут возникать у членов комиссии при изучении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та; проводит заседание комиссии,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котором происходит изучение предоставленных учреждениями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отвечает за оформление результатов изучения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тов, обобщает полученные данные и оформляет их в виде заключения.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трех месяцев изучает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и готовит заключение.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нумеруется и регистрируется в журнале исходящей документации, в течение не более 20 дней направляется в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утверждение и рассмотрение его новой редакции осуществляется на внеочередном заседании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По итогам самообслед</w:t>
      </w:r>
      <w:r>
        <w:rPr>
          <w:rFonts w:ascii="Times New Roman" w:hAnsi="Times New Roman" w:cs="Times New Roman"/>
          <w:sz w:val="28"/>
          <w:szCs w:val="28"/>
        </w:rPr>
        <w:t xml:space="preserve">ования (как самостоятельно сформулированным учреждением управленческим решениям и адресным рекомендациям, так и заключения учредителя или иного органа субъекта Российской Федерации, к компетенции которого относится решение данного вопроса)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проводит корректирующие действия: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в ходе самообследования недостатков;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формулирование целей и задач, разработка плана работы учреждения на следующий календарный год с уч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том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улучшению качества деятельности учреждения, зафиксированных в отч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локальных актов учреждения (в случае выявления в ходе самообследования «точек роста» или системных недостатков, требующих пересмотра).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вправе пройти самообследование в инициативном порядке, в том числе в случае назначения нового директора учреждения. В таком случае учреждение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вправе самостоятельно определять сроки проведения самообследования, а также состав лиц, привлекаемых для его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срок повторного прохождения самообследования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(в инициативном порядке) – не чаще 1 раза в 6 месяцев.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Содержание самообследования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Самообследование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предусматривает диагностику (измерение) и анализ в части соответствия обязательным требованиям законодательства Российской Федерации в сфере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следующих объектов: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сервисов, предоставляемых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платных услуг, предоставляемых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кадрового потенциала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методической оснащ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нности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системной включ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нности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 в деятельность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востребованности проектов, реализуемых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у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аудитории;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сообществ, функционирующих на базе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поддержки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жных инициатив учреждением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взаимодействия учреждения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 партнерскими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в экосистеме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жной политики, в том числе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самообследования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(чек-лист)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43"/>
        <w:tblW w:w="5000" w:type="pct"/>
        <w:tblLook w:val="04A0" w:firstRow="1" w:lastRow="0" w:firstColumn="1" w:lastColumn="0" w:noHBand="0" w:noVBand="1"/>
      </w:tblPr>
      <w:tblGrid>
        <w:gridCol w:w="939"/>
        <w:gridCol w:w="2928"/>
        <w:gridCol w:w="4255"/>
        <w:gridCol w:w="6438"/>
      </w:tblGrid>
      <w:tr>
        <w:trPr/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10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Объекты самообследования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Показатели, подлежащие самообследованию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Методы диагностики (измерения), рекомендуемые к использованию в ходе самообследования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Соответствие материально-технического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категории и виду, специфике деятельности учреждения,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 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соответствия рекомендациям по функционированию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оборудованию помещений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части наличия помещений (пространств) и соответствия оснащения категории и виду, специфике деятельности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Соответствие информационного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 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соответствия рекомендациям по функционированию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оборудованию помещений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части наличия Интернет-сайта учреждения, компьютеров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ноутбуков, обеспечения высокоскоростного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Соответствие оформления помещений (пространств)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материально-технической базы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процента соответствия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рекомендациям по оформлению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центров и пространств, в том числе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отсутствия англицизмов, использования государственной символики и регионального компонента, наличия объектов мотивирующей наглядности.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Наличие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беспрепятственного доступа лиц с особыми потребностями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объектам и услугам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материально-технической базы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процента соответствия рекомендациям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функционированию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оборудованию помещений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части наличия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беспрепятственного доступа к учреждению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с инвалидностью и с ОВЗ разных нозологий, надлежащего размещения оборудования и носителей информации, 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беспрепятственного доступа лиц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инвалидностью и с ОВЗ к объектам.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Сервисы, предоставляемые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Функциональная полнота сервисов, предоставляемых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информационных продуктов в части полноты перечня сервисов.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консультационных продуктов в части полноты перечня сервисов.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мероприятий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полноты перечня сервисов.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постоянно действующих форматов в части полноты перечня сервисов.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инфраструктурных продуктов в части полноты перечня сервисов.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иных сервисов (например, копировально-множительных услуг,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услуг питания) в части полноты перечня сервисов.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Соответствие условий предоставления сервисов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локальных актов и определение процента соответствия рекомендациям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функционированию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оборудованию помещений учреждений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части доступности получения сервисов потребителями, режима предоставления сервисов, требований санитарных норм и правил, безопасности труда, правил противопожарной и антитеррористической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Платные услуги, предоставляемые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Наличие платных услуг, предоставляемых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по итогам предоставления платных услуг (в том числе коммерческой аренды и коммерческой организации мероприятий).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Соответствие условий предоставления платных услуг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действующего законодательства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«Положения об организации платных услуг в учреждении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политики», договоров гражданско-правового характера, заключ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с лицами, привлекаемыми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предоставлению платных услуг, договоров на оказание платных услуг, заключ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с потребителями, бухгалтерской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тности, иных документов, регулирующих предоставление платных услуг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локальных актов и определение процен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соответствия требованиям действующего законодательства Российской Федерации в части доступности получения платных услуг потребителями, режима предоставления платных услуг, требований санитарных норм и правил, безопасности труда, правил противопожарной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Кадровый потенциал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Соответствие уровня образования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профессионального стандарта «Специалист по работе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Аудит личных дел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анализ справок-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объективок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портфолио, аттестационных листов сотрудников.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25"/>
        </w:trPr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Соответствие профессиональных компетенций, необходимых умений и знаний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профессионального стандарта «Специалист по работе с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аттестационных листов и портфолио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Данные независимой оценки квалификации, если таковая проводилась ранее.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5"/>
        </w:trPr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Наличие внутренней системы профессионального развития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Изучение и анализ локальных актов, регулирующих вопросы профессионального развития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(приказов о создании рабочих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групп, методических объединений, проведении методических недель и др.).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инструментов профессионального развития сотрудников, реализуемых в учреждении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изучение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программ и отчетов о проведении внутренних обучающих семинаров/практикумов/тренингов;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документов, подтверждающих регулярное повышение квалификации сотрудников, их участие в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 программах обучения и стажировках, конкурсах профессионального мастерства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реализации модели наставничества в учреждении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(при наличии).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5"/>
        </w:trPr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Наличие участия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конференциях, форумах, симпозиумах по тематике организации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 /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об участии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конференциях, форумах, симпозиумах международного, всероссийского, окружного, регионального, муниципального и иных уровней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тематике организации работы с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 /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5"/>
        </w:trPr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Наличие публикаций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журналах, тезисах сборников выступлений участников научно-практических конференций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публикациях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журналах, тезисах сборников выступлений участников научно-практических конференций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Специфика психологических процессов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(профессиональная мотивация, отсутствие / наличие профессионального выгорания, отсутствие / наличие дефицитов коммуникации).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Тестирование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квалифицированным психологом: выявление уровня сформированности профессиональной мотивации, отсутствия/наличия профессионального выгорания, отсутствия/наличия дефицитов коммуникации.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4.7. Наличие мотивационной программы трудового коллектива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Изучение и анализ мотивационной программы трудового коллектива или иных локальных актов, регулирующих мотивационную политику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Наличие методического отдела (ответственного сотрудника) в учреждении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Изучение и анализ положения о методическом отделе (должностных инструкций ответственного сотрудника), иных локальных актов, регулирующих методическое обеспечение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Соответствие методического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категории и виду, специфике деятельности учреждения.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методического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 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соответствия категории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виду, специфике деятельности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Наличие авторских программ, моделей, сценариев мероприятий, разработанных сотрудниками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Изучение и анализ методических разработок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содержащих авторские программы, модели, сценарии мероприятий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Системная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нность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 Доля молодых людей, задействованных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мероприятиях и проектах, постоянно действующих форматах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от 2-х раз и более (регулярно, на постоянной основе).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итогам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мероприятий и проектов, деятельности постоянно действующих форматов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определение процента молодых людей, задействованных в активностях от 2-х раз и более (регулярно, на постоянной основе).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Наличие достижений международного/всероссийского/ регионального уровня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жи, посещающей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политики (победы в грантовых конкурсах, награды за призовые места в соревнованиях, творческих фестивалях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итогам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мероприятий и проектов, деятельности постоянно действующих форматов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 победителях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международных/всероссийских/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региональных конкурсов, соревнований, фестивалей.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Изучение и анализ портфолио активистов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Востребованность проектов, реализуемых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7.1. Уровень информационного сопровождения мероприятий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проектов, событий, проводимых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публикаций в СМИ о мероприятиях и проектах, событиях, проводимых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публикаций в социальных сетях о мероприятиях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проектах, событиях, проводимых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Наличие у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спроса на мероприятия и проекты, события, проводимые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просмотров публикаций в социальных сетях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мероприятиях и проектах, событиях, проводимых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итогам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мероприятий и проектов, деятельности постоянно действующих форматов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 количестве заявок молодых людей на участие в мероприятиях.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сообщества, функционирующие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8.1. Наличие и специфика деятельности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 на базе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специфике деятельности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сообществ, функционирующих на базе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и детских общественных объединений / организаций / движений;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клубных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объединений;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объединений, имеющих статус резидента;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объединений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 (добровольческих) отрядов;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неформальных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Наличие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 на базе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функционирующих как отделения / воспитывающие пространства общероссийских движений, организаций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сообществ, функционирующих на базе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как отделения / воспитывающие пространства общероссийских движений, организаций и федеральных проектов,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отделение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Общероссийского общественно-государственного движения детей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 «Движение первых»;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многофункциональные пространство студенческих отрядо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совместно с МООО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туристские молодежные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разрабатываемый совместно с АНО «Больше, чем путешествие»;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клуб дружбы, разрабатываемый совместно с АНО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ДВФМ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инициатив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Наличие и динамика ежегодных обновлений плана мероприятий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связи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поддержанными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инициативами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поддержанных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инициатив.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и определение процента (динамики данного процента) ежегодных обновлений плана мероприятий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 с поддержанными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инициативами.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 Наличие мероприятий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непосредственно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о деятельности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части реализации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инициатив.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информации о количестве мероприятий учреждения,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непосредственно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 (активистами, резидентами).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9.3. Наличие заявок на грантовые конкурсы от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жи, посещающей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информации об участии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международных, всероссийских, региональных грантовых конкурсах.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Сбор и анализ данных о количестве заявок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грантовые конкурсы от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жи, посещающей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рскими организациями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экосистеме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межведомственное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10.1. Наличие реализуемых продуктов /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сообществами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продуктов, форматов, модельных решений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общероссийскими общественными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организациями, федеральными некоммерческими организациями и проектами, региональными и муниципальными некоммерческими организациями (в том числе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жными),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сообществами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клубами по интересам, федеральными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региональными фондами и иными некоммерческими организациями.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внешней и внутренней документации,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заключении соглашений с молодежными сообществами 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 (денежном эквиваленте) 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ресурсов в рамках реализации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экспертах – профильных специалистах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 организаций.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профильными отраслевыми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продуктов, форматов, модельных решений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иными федеральными, региональными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учреждениями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академическим сообществом.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внешней и внутренней документации,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заключении соглашений с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 (денежном эквиваленте) 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ресурсов в рамках реализации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экспертах – профильных специалистах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партнерскими организациями иных сфер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продуктов, форматов, модельных решений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образовательными организациями всех уровней и видов, учреждениями культуры, спорта, социальной защиты, здравоохранения, цифровизации, экономики, промышленности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внешней и внутренней документации,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заключении соглашений с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рскими организациями;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 (денежном эквиваленте) 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ресурсов в рамках реализации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экспертах – профильных специалистах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9" w:type="pct"/>
            <w:vMerge w:val="continue"/>
            <w:textDirection w:val="lrTb"/>
            <w:noWrap w:val="false"/>
          </w:tcPr>
          <w:p>
            <w:pPr>
              <w:pStyle w:val="94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10.4.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продуктов, форматов, модельных решений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 компаниями и предприятиями всех уровней по направлениям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Анализ внешней и внутренней документации,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сбор информации 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заключении соглашений с партнерскими организациями;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объеме (денежном эквиваленте) привлеченных ресурсов в рамках реализации партнерства;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привлеченных экспертах – профильных специалистах партнерских организаций.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бланка для отч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о самообследовании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сведения об учреждении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4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53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соответствии с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tabs>
                <w:tab w:val="left" w:pos="63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 электронной почты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tabs>
                <w:tab w:val="left" w:pos="63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Интернет-сайт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tabs>
                <w:tab w:val="left" w:pos="63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социальные сети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tabs>
                <w:tab w:val="left" w:pos="63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tabs>
                <w:tab w:val="left" w:pos="63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(должность, ФИО)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часть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Инфраструктура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Соответствие материально-технического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категории и виду, специфике деятельности учреждения,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Соответствие информационного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Соответствие оформления помещений (пространств)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Наличие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беспрепятственного доступа лиц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особыми потребностями к объектам и услугам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Сервисы, предоставляемые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Функциональная полнота сервисов, предоставляемых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Соответствие условий предоставления сервисов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существующих методических рекомендаций.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Платные услуги, предоставляемые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Наличие платных услуг, предоставляемых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Соответствие условий предоставления платных услуг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действующего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Кадровый потенциал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Соответствие уровня образования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профессионального стандарта «Специалист по работе с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Соответствие профессиональных компетенций, необходимых умений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знаний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требованиям профессионального стандарта «Специалист по работе с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Наличие внутренней системы профессионального развития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Наличие участия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 конференциях, форумах, симпозиумах по тематике организации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 /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Наличие публикаций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журналах, тезисах сборников выступлений участников научно-практических конференций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Специфика психологических процессов сотрудников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(профессиональная мотивация, отсутствие/наличие профессионального выгорания, отсутствие/наличие дефицитов коммуникации).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4.7. Наличие мотивационной программы трудового коллектива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Методическая оснащ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нность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Наличие методического кабинета / методической службы в учреждении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Соответствие методического обеспечения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категории и виду, специфике деятельности учреждения.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Наличие авторских программ, моделей, сценариев мероприятий,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разработанных сотрудниками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Системная включ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нность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жи в деятельность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 Доля молодых людей, задействованных в мероприятиях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проектах, постоянно действующих форматах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от 2-х раз и более (регулярно, на постоянной основе).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Наличие достижений международного / всероссийского / регионального уровня у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жи, посещающей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(победы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грантовых конкурсах, награды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призовые места в соревнованиях, творческих фестивалях и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Востребованность проектов, реализуемых 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политики, у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аудитории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>
        <w:trPr>
          <w:trHeight w:val="1280"/>
        </w:trPr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7.1. Уровень информационного сопровождения мероприятий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проектов, событий, проводимых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/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Наличие у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спроса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и проекты, события, проводимые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/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center"/>
        <w:spacing w:after="0" w:line="276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жные сообщества, функционирующие на базе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8.1. Наличие и специфика деятельности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 на базе учреждения</w:t>
            </w:r>
            <w:r/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Наличие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сообществ на базе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функционирующих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/ воспитывающие пространства общероссийских движений, организаций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проектов.</w:t>
            </w:r>
            <w:r/>
          </w:p>
        </w:tc>
        <w:tc>
          <w:tcPr>
            <w:tcW w:w="4526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Поддержка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жных инициатив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учреждением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Наличие и динамика ежегодных обновлений плана мероприятий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 с поддержанными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жными инициативами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 Наличие мероприятий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непосредственно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жью.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9.3. Наличие заявок на грантовые конкурсы от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жи, посещающей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Взаимодействие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 с партн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рскими организациями в экосистеме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политики, в том числе межведомственное взаимодействие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10.1. Наличие реализуемых продуктов /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молодежными сообществами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профильными отраслевыми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партнерскими организациями иных сфер и отраслей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10.4. Наличие реализуемых форматов взаимодействия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Управленческие решения и адресные рекомендации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Опросник для подготовки к организации и проведению самообследования учреждения молод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жной политики</w:t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4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Охват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процент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муниципального образования / субъекта Российской Федерации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регулярно охватывает сервисами, мероприятиями, проектами?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пути увеличения охвата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возможны?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Целевые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целевые аудитории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регулярно получают услуги в сфере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в том числе посещают мероприятия, включаются в проекты учреждения?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целевые аудитории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не охвачены сервисами, мероприятиями, проектами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Каковы потребности и интересы данных целевых аудиторий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каналы коммуникации возможно использовать для привлечения новых целевых аудиторий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форматы возможно использовать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новых целевых аудиторий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Форматы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сервисы, форматы, мероприятия, проекты, предоставляемые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наиболее востребованы?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сервисы, форматы, мероприятия, проекты, предоставляемые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политики, недостаточно востребованы?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необходимы изменения в перечне сервисов, форматов, мероприятий, проектов, предоставляемых 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популярные аналоги/образцы/практики можно адаптировать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внедрить в работу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взамен невостребованных?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сообщества / общественные объединения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ли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сообщества учреждение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как ресурсную площадку?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сообщества / общественные объединения и организации существуют на территории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осуществляется сотрудничество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данными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сообществами / общественными объединениями и организациями?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привлечь к сотрудничеству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учреждением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неохваченные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сообщества?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Популяризация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Осуществляется ли сбор обратной связи 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благополучателей (посетителей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политики, участников мероприятий)?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Проводятся ли опросы проживающей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 на предмет известности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и отношения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нему?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необходимо предпринять для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узнаваемости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политики, для повышения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удовлетворенности предоставляемыми услугами и сервисами?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Поддержка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жных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Сколько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жных инициатив было реально поддержано учреждением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за прошедший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период? Сколько не поддержано и почему?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необходимо сделать, чтобы больший процент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жных инициатив мог быть поддержан учреждением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политики?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Субъектность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системная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нность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Какое количество проводимых учреждением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мероприятий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реализованных проектов было инициировано непосредственно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жью?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Какое количество сообществ, клубов, прочих постоянно действующих форматов курируется не сотрудниками, а самой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жью?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Какое количество идей и инициатив было заявлено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жью за последний год?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Какое количество заявок на гранты подали молодые люди, посещающие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политики, за прошедший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Методическое обеспечение деятельности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алгоритм работы с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жными инициативами / проектными командами / заинтересованной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жью? Утвержд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 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данный алгоритм как локальный акт?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Разработана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инструкция для подготовки и проведения мероприятия, включая технический райдер? Утверждена ли данная инструкция как локальный акт, согласована ли она?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методические описания ключевых практик, проектов, мероприятий?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Система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и межведомственное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Насколько эффективно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осуществляется взаимодействие с партн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рами?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реестр партн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ров?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соглашения, заключ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нные с партн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рами?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у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совместные проекты с партн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рами из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некоммерческого сектора, из числа учреждений и организаций других ведомств, из числа органов власти?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у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совместные проекты с партн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рами из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бизнес-сферы?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Сотрудничает ли учреждение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с общероссийскими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жными общественными организациями, с крупными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жными федеральными проектами (в том числе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Российским обществом «Знание», автономной некоммерческой организацией «Россия – страна возможностей», Молод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жной общероссийской общественной организацией «Российские Студенческие Отряды», автономной некоммерческой организацией «Больше, чем путешествие», автономной некоммерческой организацией «Дирекция Всемирного Фестиваля Молод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жи», Ассоциацией волонт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рских центров, некоммерческих организаций и институтов общественного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Добро.рф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Открыто ли на базе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первичное отделение Общероссийского общественно-государственного движения детей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 «Движение первых»?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Созданы ли пространства или присутствует визуальное оформление Общероссийского общественно-государственного движения детей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 «Движение первых», Российского общества «Знание», АНО «Россия – страна возможностей»?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Финансовое обеспечение деятельности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процент финансирования учреждение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получило из внебюджетных источников за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объ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 грантовых средств за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 привлеч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 учреждением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за прошедший год?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объ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 средств за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 учреждение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получило 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 предоставления платных (коммерческих) услуг?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Инфраструктура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отдельная входная группа?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входная / приветственная зона / информационная стойка?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многофункциональное пространство / универсальный зал со свободным доступом для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досуговая зона / зона отдыха и тихой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зона для приема пищи: кофейня / буфет / мини-кухня?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оборудованная рабочая зона для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сотрудников?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пространства для проведения массовых мероприятий (актовый зал, конференц-зал)?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аудитории для небольших групп / коворкинг / специализированные учебные классы / кабинеты для индивидуальных консультаций?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Какие ещ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пространства имеются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медиастудия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музейное пространство, спортивный зал, тир и др.)?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Созданы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условия физической и информационной доступности объектов и услуг для лиц с особыми потребностями, в том числе маломобильных групп населения (МГН)?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высокоскоростное интернет-соединение, точки доступа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i, которыми могут пользоваться молодые люди?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компьютеры / ноутбуки, которыми могут пользоваться молодые люди?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Расположен ли перед входом в учреждение флаг Российской Федерации, установленный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соответствии с рекомендациями? Используются ли внутри пространств государственные символы Российской Федерации, субъекта Российской Федерации, муниципального образования?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Кадровый потенциал учреждения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Существует ли в учреждении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кадровый резерв для оперативного закрытия вакантных должностей?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 ли сотрудники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образование, соответствующее профессиональному стандарту «Специалист по работе с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жью»?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процент специалистов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проходил курсы повышения квалификации за прошедший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процент специалистов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за прошедший отч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тный период посещал семинары, тренинги, обучающие мероприятия, связанные с их профессиональными задачами?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Насколько рационально распределена нагрузка между специалистами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Есть ли у сотрудников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перспективы развития? Какие?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44"/>
              <w:numPr>
                <w:ilvl w:val="0"/>
                <w:numId w:val="20"/>
              </w:numPr>
              <w:ind w:left="0" w:firstLine="0"/>
              <w:jc w:val="bot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Имеется ли у учреждения молод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жной политики база экспертов, не являющихся штатными сотрудниками учреждения, с которыми осуществляется сотрудничество на регулярной основе и привлечение к участию в проектах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мероприятиях?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</w:pPr>
      <w:r>
        <w:rPr>
          <w:rStyle w:val="94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444444"/>
          <w:shd w:val="clear" w:color="auto" w:fill="ffffff"/>
        </w:rPr>
        <w:t xml:space="preserve">В состав</w:t>
      </w:r>
      <w:r>
        <w:rPr>
          <w:rFonts w:ascii="Times New Roman" w:hAnsi="Times New Roman" w:cs="Times New Roman"/>
          <w:color w:val="444444"/>
          <w:shd w:val="clear" w:color="auto" w:fill="ffffff"/>
        </w:rPr>
        <w:t xml:space="preserve"> рабочей группы могут входить как штатные сотрудники, так и специалисты, которые работают по совместительству или по гражданско-правовому договору.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96623677"/>
      <w:docPartObj>
        <w:docPartGallery w:val="Page Numbers (Top of Page)"/>
        <w:docPartUnique w:val="true"/>
      </w:docPartObj>
      <w:rPr/>
    </w:sdtPr>
    <w:sdtContent>
      <w:p>
        <w:pPr>
          <w:pStyle w:val="93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14"/>
  </w:num>
  <w:num w:numId="12">
    <w:abstractNumId w:val="1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</w:style>
  <w:style w:type="paragraph" w:styleId="750">
    <w:name w:val="Heading 1"/>
    <w:basedOn w:val="749"/>
    <w:next w:val="749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59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basedOn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basedOn w:val="759"/>
    <w:uiPriority w:val="10"/>
    <w:rPr>
      <w:sz w:val="48"/>
      <w:szCs w:val="48"/>
    </w:rPr>
  </w:style>
  <w:style w:type="character" w:styleId="772" w:customStyle="1">
    <w:name w:val="Subtitle Char"/>
    <w:basedOn w:val="759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59"/>
    <w:link w:val="750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59"/>
    <w:link w:val="751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No Spacing"/>
    <w:uiPriority w:val="1"/>
    <w:qFormat/>
    <w:pPr>
      <w:spacing w:after="0" w:line="240" w:lineRule="auto"/>
    </w:pPr>
  </w:style>
  <w:style w:type="paragraph" w:styleId="786">
    <w:name w:val="Title"/>
    <w:basedOn w:val="749"/>
    <w:next w:val="749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 w:customStyle="1">
    <w:name w:val="Заголовок Знак"/>
    <w:basedOn w:val="759"/>
    <w:link w:val="786"/>
    <w:uiPriority w:val="10"/>
    <w:rPr>
      <w:sz w:val="48"/>
      <w:szCs w:val="48"/>
    </w:rPr>
  </w:style>
  <w:style w:type="paragraph" w:styleId="788">
    <w:name w:val="Subtitle"/>
    <w:basedOn w:val="749"/>
    <w:next w:val="749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basedOn w:val="759"/>
    <w:link w:val="788"/>
    <w:uiPriority w:val="11"/>
    <w:rPr>
      <w:sz w:val="24"/>
      <w:szCs w:val="24"/>
    </w:rPr>
  </w:style>
  <w:style w:type="paragraph" w:styleId="790">
    <w:name w:val="Quote"/>
    <w:basedOn w:val="749"/>
    <w:next w:val="749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49"/>
    <w:next w:val="749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character" w:styleId="794" w:customStyle="1">
    <w:name w:val="Header Char"/>
    <w:basedOn w:val="759"/>
    <w:uiPriority w:val="99"/>
  </w:style>
  <w:style w:type="character" w:styleId="795" w:customStyle="1">
    <w:name w:val="Footer Char"/>
    <w:basedOn w:val="759"/>
    <w:uiPriority w:val="99"/>
  </w:style>
  <w:style w:type="paragraph" w:styleId="79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97" w:customStyle="1">
    <w:name w:val="Caption Char"/>
    <w:uiPriority w:val="99"/>
  </w:style>
  <w:style w:type="table" w:styleId="798" w:customStyle="1">
    <w:name w:val="Table Grid Light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>
    <w:name w:val="Plain Table 1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6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27" w:customStyle="1">
    <w:name w:val="Grid Table 4 - Accent 2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Grid Table 4 - Accent 3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9" w:customStyle="1">
    <w:name w:val="Grid Table 4 - Accent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Grid Table 4 - Accent 5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31" w:customStyle="1">
    <w:name w:val="Grid Table 4 - Accent 6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2">
    <w:name w:val="Grid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9">
    <w:name w:val="Grid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41" w:customStyle="1">
    <w:name w:val="Grid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2" w:customStyle="1">
    <w:name w:val="Grid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3" w:customStyle="1">
    <w:name w:val="Grid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4" w:customStyle="1">
    <w:name w:val="Grid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45" w:customStyle="1">
    <w:name w:val="Grid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46">
    <w:name w:val="Grid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>
    <w:name w:val="List Table 1 Light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>
    <w:name w:val="List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90" w:customStyle="1">
    <w:name w:val="List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1" w:customStyle="1">
    <w:name w:val="List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2" w:customStyle="1">
    <w:name w:val="List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3" w:customStyle="1">
    <w:name w:val="List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94" w:customStyle="1">
    <w:name w:val="List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5">
    <w:name w:val="List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04" w:customStyle="1">
    <w:name w:val="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8" w:customStyle="1">
    <w:name w:val="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 &amp; 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1" w:customStyle="1">
    <w:name w:val="Bordered &amp; 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Bordered &amp; 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Bordered &amp; 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Bordered &amp; 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5" w:customStyle="1">
    <w:name w:val="Bordered &amp; 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18" w:customStyle="1">
    <w:name w:val="Bordered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9" w:customStyle="1">
    <w:name w:val="Bordered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0" w:customStyle="1">
    <w:name w:val="Bordered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1" w:customStyle="1">
    <w:name w:val="Bordered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22" w:customStyle="1">
    <w:name w:val="Bordered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3">
    <w:name w:val="Hyperlink"/>
    <w:uiPriority w:val="99"/>
    <w:unhideWhenUsed/>
    <w:rPr>
      <w:color w:val="0563c1" w:themeColor="hyperlink"/>
      <w:u w:val="single"/>
    </w:r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4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59"/>
    <w:uiPriority w:val="99"/>
    <w:semiHidden/>
    <w:unhideWhenUsed/>
    <w:rPr>
      <w:vertAlign w:val="superscript"/>
    </w:rPr>
  </w:style>
  <w:style w:type="paragraph" w:styleId="928">
    <w:name w:val="toc 1"/>
    <w:basedOn w:val="749"/>
    <w:next w:val="749"/>
    <w:uiPriority w:val="39"/>
    <w:unhideWhenUsed/>
    <w:pPr>
      <w:spacing w:after="57"/>
    </w:pPr>
  </w:style>
  <w:style w:type="paragraph" w:styleId="929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30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31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2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3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4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5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6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49"/>
    <w:next w:val="749"/>
    <w:uiPriority w:val="99"/>
    <w:unhideWhenUsed/>
    <w:pPr>
      <w:spacing w:after="0"/>
    </w:pPr>
  </w:style>
  <w:style w:type="paragraph" w:styleId="939">
    <w:name w:val="Header"/>
    <w:basedOn w:val="749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759"/>
    <w:link w:val="939"/>
    <w:uiPriority w:val="99"/>
  </w:style>
  <w:style w:type="paragraph" w:styleId="941">
    <w:name w:val="Footer"/>
    <w:basedOn w:val="749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759"/>
    <w:link w:val="941"/>
    <w:uiPriority w:val="99"/>
  </w:style>
  <w:style w:type="table" w:styleId="943">
    <w:name w:val="Table Grid"/>
    <w:basedOn w:val="7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>
    <w:name w:val="List Paragraph"/>
    <w:basedOn w:val="749"/>
    <w:uiPriority w:val="34"/>
    <w:qFormat/>
    <w:pPr>
      <w:contextualSpacing/>
      <w:ind w:left="720"/>
    </w:pPr>
  </w:style>
  <w:style w:type="paragraph" w:styleId="945">
    <w:name w:val="footnote text"/>
    <w:basedOn w:val="749"/>
    <w:link w:val="94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46" w:customStyle="1">
    <w:name w:val="Текст сноски Знак"/>
    <w:basedOn w:val="759"/>
    <w:link w:val="945"/>
    <w:uiPriority w:val="99"/>
    <w:semiHidden/>
    <w:rPr>
      <w:sz w:val="20"/>
      <w:szCs w:val="20"/>
    </w:rPr>
  </w:style>
  <w:style w:type="character" w:styleId="947">
    <w:name w:val="footnote reference"/>
    <w:basedOn w:val="759"/>
    <w:uiPriority w:val="99"/>
    <w:semiHidden/>
    <w:unhideWhenUsed/>
    <w:rPr>
      <w:vertAlign w:val="superscript"/>
    </w:rPr>
  </w:style>
  <w:style w:type="character" w:styleId="948">
    <w:name w:val="annotation reference"/>
    <w:basedOn w:val="759"/>
    <w:uiPriority w:val="99"/>
    <w:semiHidden/>
    <w:unhideWhenUsed/>
    <w:rPr>
      <w:sz w:val="16"/>
      <w:szCs w:val="16"/>
    </w:rPr>
  </w:style>
  <w:style w:type="paragraph" w:styleId="949">
    <w:name w:val="annotation text"/>
    <w:basedOn w:val="749"/>
    <w:link w:val="95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0" w:customStyle="1">
    <w:name w:val="Текст примечания Знак"/>
    <w:basedOn w:val="759"/>
    <w:link w:val="949"/>
    <w:uiPriority w:val="99"/>
    <w:semiHidden/>
    <w:rPr>
      <w:sz w:val="20"/>
      <w:szCs w:val="20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rPr>
      <w:b/>
      <w:bCs/>
      <w:sz w:val="20"/>
      <w:szCs w:val="20"/>
    </w:rPr>
  </w:style>
  <w:style w:type="paragraph" w:styleId="953">
    <w:name w:val="Balloon Text"/>
    <w:basedOn w:val="749"/>
    <w:link w:val="9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59"/>
    <w:link w:val="953"/>
    <w:uiPriority w:val="99"/>
    <w:semiHidden/>
    <w:rPr>
      <w:rFonts w:ascii="Segoe UI" w:hAnsi="Segoe UI" w:cs="Segoe UI"/>
      <w:sz w:val="18"/>
      <w:szCs w:val="18"/>
    </w:rPr>
  </w:style>
  <w:style w:type="paragraph" w:styleId="955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4E91-0F11-4DC9-8D62-0D145E9C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revision>182</cp:revision>
  <dcterms:created xsi:type="dcterms:W3CDTF">2025-09-02T09:24:00Z</dcterms:created>
  <dcterms:modified xsi:type="dcterms:W3CDTF">2025-10-30T15:03:12Z</dcterms:modified>
</cp:coreProperties>
</file>