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Дополнительные материалы к рекомендациям по размещению учреждений молодежной политики,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иных объектов инфраструктуры молодежной политики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исходя из потребностей молодежи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Актуальность и основания разработки рекомендаций</w:t>
      </w:r>
      <w:r/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1.1. Рекомендации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размещению государственных и муниципальных учреждени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й, осуществляющих деятельность по реализации молодежной политики, иных объектов инфраструктуры молодежной политики, исходя из потребностей молодежи (далее – Рекомендации)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разработаны на основании проведенных исследований особенностей работы учреждений молодежной политики в Российской Федерации, включающих в себя: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изучение существующих методических пособий, материалов, документов о моделях функционирования различных видов учреждений молодежной политики, о нормативах и рекомендациях по обеспеченности учреждениями в иных отраслях;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проведение опроса (сбор данных) об особенностях работы учреждений молодежной политики.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1.1.1. Разработка Рекомендаций проводилась с учетом анализа существующих аналогов норматив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 обеспеченности объектами инфраструктуры и методик определения нормативной потребности субъектов Российской Федерации в объектах инфраструктуры в сфере градостроительства, образования, культуры, здравоохранения, физической культуры и спорта.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1.1.2. При разработке Рекомендаций учитывались данные опроса</w:t>
      </w:r>
      <w:r>
        <w:rPr>
          <w:rFonts w:ascii="Times New Roman" w:hAnsi="Times New Roman" w:cs="Times New Roman"/>
          <w:i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руководителей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исполнительных органов государственной власти, ответственных за реализацию молодежной политики в субъектах Российской Федерации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регионального и муниципального уровней (235 человек) </w:t>
        <w:br/>
        <w:t xml:space="preserve">и руководителей учреждений молодежной политики регионального </w:t>
        <w:br/>
        <w:t xml:space="preserve">и муниципального уровней (190 человек), проведенного в июле 2025 года </w:t>
        <w:br/>
        <w:t xml:space="preserve">в целях сбора информации и мнений по вопросам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функционирования учреждений молодежной политики, в том числе вопросам обеспеченности учреждениями молодежной политики в муниципальных образованиях.</w:t>
      </w:r>
      <w:r>
        <w:rPr>
          <w:rFonts w:ascii="Times New Roman" w:hAnsi="Times New Roman" w:cs="Times New Roman"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Установлено, что по состоянию на июль 2025 года в практике учреждений молодежной политики в субъектах Российской Федерации </w:t>
        <w:br/>
        <w:t xml:space="preserve">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муниципальных образованиях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качестве нормативов обеспеченности используются </w:t>
      </w:r>
      <w:r>
        <w:rPr>
          <w:rFonts w:ascii="Times New Roman" w:hAnsi="Times New Roman" w:cs="Times New Roman"/>
          <w:color w:val="111111"/>
          <w:sz w:val="28"/>
          <w:szCs w:val="28"/>
          <w:highlight w:val="none"/>
          <w:shd w:val="clear" w:color="auto" w:fill="ffffff"/>
        </w:rPr>
        <w:t xml:space="preserve">общепризнанные принципы и нормы международного права,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документы федерального законодательства, региональные нормативно-правовые акты (законы субъектов Российской Федерации «О молодежной политике»), муниципальные программы, уставы.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ходе опроса руководители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исполнительных органов государственной власти, ответственных за реализацию молодежной политики в субъектах Российской Федерации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высказали предположения какие основания могут быть использованы для определения норматива обеспеченности учреждениями молодежной политики субъекта Российской Федерации </w:t>
        <w:br/>
        <w:t xml:space="preserve">или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К ним отнесены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численность молодежи (26 % респондентов),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вид населенного пункта (21 %), удаленность населенного пункта от административного центра (15 %), присутствие учреждений других отраслей (10 %), численность населения (9 %). Использование всех перечисленных оснований считают обязательным 17 % респондентов.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результатам проведенного опроса установлено, что норматив обеспеченности учреждениями молодежной политики субъекта Российской Федерации или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должен быть вариативным. Прежде всего, вариативность должна выражаться в наличии отдельных нормативов для: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малых городов с населением до 50 000 человек (41 % респондентов);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средних городов с населением от 50 000 до 100 000 человек (38 % респондентов);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поселков сельского типа с 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селением от 50 человек до 5 000 человек; крупнейших городов (городов-миллионников) с населением свыше 1 000 000 человек; поселков городского типа / рабочих поселков / курортных поселков с населением от 100 000 человек до 50 000 человек (37 % респондентов);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мегаполисов (город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 населением от 10 000 000 человек); крупных городов с населением от 250 000 до 1 000 000 человек; больших городов </w:t>
        <w:br/>
        <w:t xml:space="preserve">с населением от 100 000 до 250 000 человек; больших сельских поселений </w:t>
        <w:br/>
        <w:t xml:space="preserve">с населением от 1 000 человек до 3 000 человек (36 % респондентов).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Отмечена необходимость учитывать существующие нормативы обеспеченности, действующие в других отраслях (образовании, медицине, культуре, градостроении, социальной защите).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Кроме того, руководители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исполнительных органов государственной власти, ответственных за реализацию молодежной политики в субъектах Российской Федерации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выделили следующие факторы, которые необходимо учитывать при определении норматива обеспеченности учреждениями молодежной политики субъекта Российской Федерации или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бюджетный фактор (в том числе норматив минимального количества выделяемого финансирования на деятельность учреждения молодежной политики);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фактор кадрового обеспечения молодежной политики (количество штатных единиц в отрасли молодежной политики, уровень квалификации специалистов в сфере молодежной политики);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географ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ческий фактор (удаленность муниципального образования </w:t>
        <w:br/>
        <w:t xml:space="preserve">от административного центра субъекта Российской Федерации, плотность населения, близость к границам, площадь муниципального образования, специфика закрытых административно-территориальных образований);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демографический фактор (фактическая численность и динамика численности молодежи в муниципальном образовании (отток и приток), количество молодых семей);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психологический фактор (активность молодежи, заинтересованность к участию в форматах, предлагаемых учреждениями молодежной политики </w:t>
        <w:br/>
        <w:t xml:space="preserve">и молодежными пространствами);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институциональный фактор (наличие производства, профессиональных образовательных организаций и образовательных организаций высшего образования, учреждений других сфер (культуры, спорта), реализующих аналогичные виды деятельности).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 «Стратегия реализации молодежной политики в Российской Федерации на период до 2030 года», утвержденная Распоряжением Правительства Российской Федерации от 17 августа 2024 г. № 2233-р указывает на наличие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недостаточного обеспечения комфортной городской среды и инфраструктуры молодежной политики в субъектах Российской Федерации, в том числе дефицита доступных и бесплатных общественных пространств для детей и молодежи в регионах и муниципальных образованиях.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создание условий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равного доступа и обеспечение равных возможнос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ей для самореализации и личностного роста, социальной активности, поддержки талантов и способностей молодежи, проживающей </w:t>
        <w:br/>
        <w:t xml:space="preserve">в разных муниципальных образованиях, посредством развития сети учреждений молодежной политики во всех субъектах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Инфраструктура молодежной политики, действующая на территории муниципального образования, должна выполнять следующие ключевые функции: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информационную (о существующих возможностях самореализации молодежи,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мерах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и иной поддержки);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социальную (формирование сообществ единомышленников, возможность участия в деятельности молодежных объединений, развитие навыков социального проектирования и дальнейшая реализация проектов);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досуговую (пространство «третьего места», где созданы условия </w:t>
        <w:br/>
        <w:t xml:space="preserve">для развивающего, безопасного, комфортного досуга);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воспитывающую (формирующую ценности как через визуальное оформление учреждения, так и через его непосредственную деятельность).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Совер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шенствование инфраструктуры молодежной политики, в том числе развитие сети учреждений молодежной политики, будет способствовать улучшению качества жизни, социальной активности, гражданственности, духовно-нравственному и патриотическому воспитанию молодежи.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2. Современное состояние инфраструктуры молодежной политики </w:t>
        <w:br/>
        <w:t xml:space="preserve">в Российской Федерации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2.1. По данным Федеральной службы государственной статистики численность населения Российской Федерации на 1 января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2025 года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оценивается в 146 028 325 человек. На 1 января 2025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в России проживало около 37 миллионов молодых людей в возрасте от 14 до 35 лет включительно, что составляет четверть от общей численности населения муниципальных об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азований субъектов Российской Федерации. Ожидается, что к 2030 году численность молодежи в возрасте от 14 до 24 лет увеличится примерно </w:t>
        <w:br/>
        <w:t xml:space="preserve">на 2,7 миллионов человек, а численность молодежи в возрасте от 25 до 35 лет снизится примерно на 3,7 миллионов человек.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 По состоянию на 1 января 2025 года функционируют 1062 учреждения молодежной политики в 771 муниципальном образовании субъектов Российской Федерации, в том числе 170 региональных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892 муниципальных учреждени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Доля муниципальных образований первого уровня, имеющих как минимум одно муниципальное учреждение молодежной политики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составляет 29 %.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 В целях обеспечения равного доступа молодежи к объектам инфраструктуры молодежной политики в городских и сельских населенных пунктах, не являющихся муниципальным образованием, с населением свыше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5 тыс. человек возможно создание молодежных пространств как помещений или комплекса помещений, расположенных в государственных </w:t>
        <w:br/>
        <w:t xml:space="preserve">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муниципальных учреждениях культуры, спорта, туризма и ин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 сфер, образовательных организациях, в коммерческих организациях </w:t>
        <w:br/>
        <w:t xml:space="preserve">и предприятиях, некоммерческих организациях, которые на праве аренды, безвозмездного пользования или иного вещного права переданы учреждению молодежной политики или органу исполнительной вл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асти субъекта Российской Федерации, структурному подразделению органа местного самоуправления, осуществляющих деятельность по реализации молодежной политики, для реализации направлений молодежной политики в данных пространствах и имеющих свободный доступ.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Благодаря созданию молодежных пространств, расположенных </w:t>
        <w:br/>
        <w:t xml:space="preserve">в учреждениях культуры (домах культуры, домах (центрах) народного творчества, центрах культурного развития, иных культурно-досуговых учреждениях), организациях дополнительного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бразования (в том числе, домах детского и юношеского творчества), учреждениях физической культуры и спорта (физкультурно-спортивных организациях), а также </w:t>
        <w:br/>
        <w:t xml:space="preserve">в организациях и предприятиях коммерческого сектора возможно выстраивание единой системы инфраструкт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уры молодежной политики. Межведомственная работа социального блока позволит качественно и системно охватить работой с молодежью малые города, поселки и сельские населенные пункты, повысит информированность населения о возможностях самореализации молодежи.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3. Дополнительные положения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3.1. Рекомендации разрабатывались при участии Всероссийской ассоциации развития местного самоуправления (ВАРМСУ). В обсуждении проекта Реком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ендаций приняли участие главы муниципальных образований Российской Федерации, а также руководители и заместители руководителей исполнительных органов государственной власти, ответственных за реализацию молодежной политики в субъектах Российской Федерации.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43437307"/>
      <w:docPartObj>
        <w:docPartGallery w:val="Page Numbers (Top of Page)"/>
        <w:docPartUnique w:val="true"/>
      </w:docPartObj>
      <w:rPr/>
    </w:sdtPr>
    <w:sdtContent>
      <w:p>
        <w:pPr>
          <w:pStyle w:val="88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6"/>
      <w:numFmt w:val="bullet"/>
      <w:isLgl w:val="false"/>
      <w:suff w:val="tab"/>
      <w:lvlText w:val="–"/>
      <w:lvlJc w:val="left"/>
      <w:pPr>
        <w:ind w:left="1069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 w:default="1">
    <w:name w:val="Normal"/>
    <w:qFormat/>
  </w:style>
  <w:style w:type="paragraph" w:styleId="693">
    <w:name w:val="Heading 1"/>
    <w:basedOn w:val="692"/>
    <w:next w:val="692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4">
    <w:name w:val="Heading 2"/>
    <w:basedOn w:val="692"/>
    <w:next w:val="692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692"/>
    <w:next w:val="692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692"/>
    <w:next w:val="692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9">
    <w:name w:val="Heading 7"/>
    <w:basedOn w:val="692"/>
    <w:next w:val="692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0">
    <w:name w:val="Heading 8"/>
    <w:basedOn w:val="692"/>
    <w:next w:val="692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1">
    <w:name w:val="Heading 9"/>
    <w:basedOn w:val="692"/>
    <w:next w:val="692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Heading 1 Char"/>
    <w:basedOn w:val="702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Heading 2 Char"/>
    <w:basedOn w:val="702"/>
    <w:uiPriority w:val="9"/>
    <w:rPr>
      <w:rFonts w:ascii="Arial" w:hAnsi="Arial" w:eastAsia="Arial" w:cs="Arial"/>
      <w:sz w:val="34"/>
    </w:rPr>
  </w:style>
  <w:style w:type="character" w:styleId="707" w:customStyle="1">
    <w:name w:val="Heading 3 Char"/>
    <w:basedOn w:val="702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basedOn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Heading 6 Char"/>
    <w:basedOn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Heading 7 Char"/>
    <w:basedOn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8 Char"/>
    <w:basedOn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Heading 9 Char"/>
    <w:basedOn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Title Char"/>
    <w:basedOn w:val="702"/>
    <w:uiPriority w:val="10"/>
    <w:rPr>
      <w:sz w:val="48"/>
      <w:szCs w:val="48"/>
    </w:rPr>
  </w:style>
  <w:style w:type="character" w:styleId="715" w:customStyle="1">
    <w:name w:val="Subtitle Char"/>
    <w:basedOn w:val="702"/>
    <w:uiPriority w:val="11"/>
    <w:rPr>
      <w:sz w:val="24"/>
      <w:szCs w:val="24"/>
    </w:rPr>
  </w:style>
  <w:style w:type="character" w:styleId="716" w:customStyle="1">
    <w:name w:val="Quote Char"/>
    <w:uiPriority w:val="29"/>
    <w:rPr>
      <w:i/>
    </w:rPr>
  </w:style>
  <w:style w:type="character" w:styleId="717" w:customStyle="1">
    <w:name w:val="Intense Quote Char"/>
    <w:uiPriority w:val="30"/>
    <w:rPr>
      <w:i/>
    </w:rPr>
  </w:style>
  <w:style w:type="character" w:styleId="718" w:customStyle="1">
    <w:name w:val="Footnote Text Char"/>
    <w:uiPriority w:val="99"/>
    <w:rPr>
      <w:sz w:val="18"/>
    </w:rPr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2"/>
    <w:link w:val="693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2"/>
    <w:link w:val="694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02"/>
    <w:link w:val="69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692"/>
    <w:next w:val="692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 w:customStyle="1">
    <w:name w:val="Заголовок Знак"/>
    <w:basedOn w:val="702"/>
    <w:link w:val="730"/>
    <w:uiPriority w:val="10"/>
    <w:rPr>
      <w:sz w:val="48"/>
      <w:szCs w:val="48"/>
    </w:rPr>
  </w:style>
  <w:style w:type="paragraph" w:styleId="732">
    <w:name w:val="Subtitle"/>
    <w:basedOn w:val="692"/>
    <w:next w:val="692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 w:customStyle="1">
    <w:name w:val="Подзаголовок Знак"/>
    <w:basedOn w:val="702"/>
    <w:link w:val="732"/>
    <w:uiPriority w:val="11"/>
    <w:rPr>
      <w:sz w:val="24"/>
      <w:szCs w:val="24"/>
    </w:rPr>
  </w:style>
  <w:style w:type="paragraph" w:styleId="734">
    <w:name w:val="Quote"/>
    <w:basedOn w:val="692"/>
    <w:next w:val="692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692"/>
    <w:next w:val="692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02"/>
    <w:uiPriority w:val="99"/>
  </w:style>
  <w:style w:type="character" w:styleId="739" w:customStyle="1">
    <w:name w:val="Footer Char"/>
    <w:basedOn w:val="702"/>
    <w:uiPriority w:val="99"/>
  </w:style>
  <w:style w:type="paragraph" w:styleId="740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41" w:customStyle="1">
    <w:name w:val="Caption Char"/>
    <w:uiPriority w:val="99"/>
  </w:style>
  <w:style w:type="table" w:styleId="742">
    <w:name w:val="Table Grid"/>
    <w:basedOn w:val="70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3" w:customStyle="1">
    <w:name w:val="Table Grid Light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2" w:customStyle="1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6" w:customStyle="1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6" w:customStyle="1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0" w:customStyle="1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1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35" w:customStyle="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39" w:customStyle="1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9" w:customStyle="1">
    <w:name w:val="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3" w:customStyle="1">
    <w:name w:val="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6" w:customStyle="1">
    <w:name w:val="Bordered &amp; 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0" w:customStyle="1">
    <w:name w:val="Bordered &amp; 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3" w:customStyle="1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67" w:customStyle="1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692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02"/>
    <w:uiPriority w:val="99"/>
    <w:unhideWhenUsed/>
    <w:rPr>
      <w:vertAlign w:val="superscript"/>
    </w:rPr>
  </w:style>
  <w:style w:type="paragraph" w:styleId="872">
    <w:name w:val="endnote text"/>
    <w:basedOn w:val="692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02"/>
    <w:uiPriority w:val="99"/>
    <w:semiHidden/>
    <w:unhideWhenUsed/>
    <w:rPr>
      <w:vertAlign w:val="superscript"/>
    </w:rPr>
  </w:style>
  <w:style w:type="paragraph" w:styleId="875">
    <w:name w:val="toc 1"/>
    <w:basedOn w:val="692"/>
    <w:next w:val="692"/>
    <w:uiPriority w:val="39"/>
    <w:unhideWhenUsed/>
    <w:pPr>
      <w:spacing w:after="57"/>
    </w:pPr>
  </w:style>
  <w:style w:type="paragraph" w:styleId="876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77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78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79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80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81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82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83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92"/>
    <w:next w:val="692"/>
    <w:uiPriority w:val="99"/>
    <w:unhideWhenUsed/>
    <w:pPr>
      <w:spacing w:after="0"/>
    </w:pPr>
  </w:style>
  <w:style w:type="paragraph" w:styleId="886">
    <w:name w:val="Header"/>
    <w:basedOn w:val="692"/>
    <w:link w:val="8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702"/>
    <w:link w:val="886"/>
    <w:uiPriority w:val="99"/>
  </w:style>
  <w:style w:type="paragraph" w:styleId="888">
    <w:name w:val="Footer"/>
    <w:basedOn w:val="692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Нижний колонтитул Знак"/>
    <w:basedOn w:val="702"/>
    <w:link w:val="888"/>
    <w:uiPriority w:val="99"/>
  </w:style>
  <w:style w:type="paragraph" w:styleId="890">
    <w:name w:val="List Paragraph"/>
    <w:basedOn w:val="69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revision>12</cp:revision>
  <dcterms:created xsi:type="dcterms:W3CDTF">2025-08-21T14:04:00Z</dcterms:created>
  <dcterms:modified xsi:type="dcterms:W3CDTF">2025-10-30T14:57:27Z</dcterms:modified>
</cp:coreProperties>
</file>